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Лицензионный договор № _____ 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о передаче прав на использование произведения</w:t>
      </w:r>
      <w:r>
        <w:rPr>
          <w:b/>
        </w:rPr>
      </w:r>
    </w:p>
    <w:p>
      <w:pPr>
        <w:jc w:val="center"/>
      </w:pPr>
      <w:r/>
      <w:r/>
    </w:p>
    <w:p>
      <w:pPr>
        <w:jc w:val="both"/>
      </w:pPr>
      <w:r>
        <w:t xml:space="preserve">г. Москва                                                   </w:t>
      </w:r>
      <w:r>
        <w:t xml:space="preserve">                              </w:t>
      </w:r>
      <w:r>
        <w:t xml:space="preserve"> </w:t>
      </w:r>
      <w:r>
        <w:tab/>
      </w:r>
      <w:r>
        <w:tab/>
        <w:t xml:space="preserve">  </w:t>
      </w:r>
      <w:r>
        <w:t xml:space="preserve">"</w:t>
      </w:r>
      <w:r>
        <w:t xml:space="preserve">___</w:t>
      </w:r>
      <w:r>
        <w:t xml:space="preserve">"</w:t>
      </w:r>
      <w:r>
        <w:t xml:space="preserve"> </w:t>
      </w:r>
      <w:r>
        <w:t xml:space="preserve">____</w:t>
      </w:r>
      <w:r>
        <w:t xml:space="preserve">__ </w:t>
      </w:r>
      <w:r>
        <w:t xml:space="preserve">20</w:t>
      </w:r>
      <w:r>
        <w:t xml:space="preserve">2_</w:t>
      </w:r>
      <w:r>
        <w:t xml:space="preserve"> </w:t>
      </w:r>
      <w:r>
        <w:t xml:space="preserve">г. </w:t>
      </w:r>
      <w:r/>
    </w:p>
    <w:p>
      <w:pPr>
        <w:ind w:firstLine="900"/>
        <w:jc w:val="both"/>
      </w:pPr>
      <w:r/>
      <w:r/>
    </w:p>
    <w:p>
      <w:pPr>
        <w:ind w:firstLine="709"/>
        <w:jc w:val="both"/>
      </w:pPr>
      <w:r>
        <w:rPr>
          <w:b/>
        </w:rPr>
        <w:t xml:space="preserve">________________________</w:t>
      </w:r>
      <w:r>
        <w:t xml:space="preserve">,</w:t>
      </w:r>
      <w:r>
        <w:rPr>
          <w:b/>
        </w:rPr>
        <w:t xml:space="preserve"> </w:t>
      </w:r>
      <w:r>
        <w:t xml:space="preserve">именуемы</w:t>
      </w:r>
      <w:r>
        <w:t xml:space="preserve">й</w:t>
      </w:r>
      <w:r>
        <w:t xml:space="preserve">(</w:t>
      </w:r>
      <w:r>
        <w:t xml:space="preserve">-</w:t>
      </w:r>
      <w:r>
        <w:t xml:space="preserve">ая</w:t>
      </w:r>
      <w:r>
        <w:t xml:space="preserve">)</w:t>
      </w:r>
      <w:r>
        <w:t xml:space="preserve"> в дальнейшем «Лицензиар», </w:t>
      </w:r>
      <w:r>
        <w:t xml:space="preserve">с одной стороны, и </w:t>
      </w:r>
      <w:r>
        <w:rPr>
          <w:b/>
        </w:rPr>
        <w:t xml:space="preserve">Федеральное государственное бюджетное образовательное учреждение высшего образования «Российская академия музыки имени Гнесиных»</w:t>
      </w:r>
      <w:r>
        <w:t xml:space="preserve">, именуемое в дальнейшем «Лицензиат», в лице</w:t>
      </w:r>
      <w:r>
        <w:t xml:space="preserve"> </w:t>
      </w:r>
      <w:r>
        <w:t xml:space="preserve">___________________</w:t>
      </w:r>
      <w:r>
        <w:t xml:space="preserve">, действующе</w:t>
      </w:r>
      <w:r>
        <w:t xml:space="preserve">го</w:t>
      </w:r>
      <w:r>
        <w:t xml:space="preserve"> на </w:t>
      </w:r>
      <w:r>
        <w:t xml:space="preserve">основании _______________</w:t>
      </w:r>
      <w:r>
        <w:t xml:space="preserve">, </w:t>
      </w:r>
      <w:r>
        <w:t xml:space="preserve">с другой стороны, именуемые в дальнейшем Стороны, заключили настоящий договор о нижеследующем:</w:t>
      </w:r>
      <w:r/>
    </w:p>
    <w:p>
      <w:pPr>
        <w:ind w:firstLine="90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1. Предмет договора</w:t>
      </w:r>
      <w:r>
        <w:rPr>
          <w:b/>
        </w:rPr>
      </w:r>
    </w:p>
    <w:p>
      <w:pPr>
        <w:ind w:firstLine="709"/>
        <w:jc w:val="both"/>
        <w:rPr>
          <w:b/>
          <w:bCs/>
        </w:rPr>
      </w:pPr>
      <w:r>
        <w:t xml:space="preserve">1.</w:t>
      </w:r>
      <w:r>
        <w:t xml:space="preserve">1 Лицензиар</w:t>
      </w:r>
      <w:r>
        <w:t xml:space="preserve"> </w:t>
      </w:r>
      <w:r>
        <w:t xml:space="preserve">предоставля</w:t>
      </w:r>
      <w:r>
        <w:t xml:space="preserve">е</w:t>
      </w:r>
      <w:r>
        <w:t xml:space="preserve">т Лицензиату право на использование произведения</w:t>
      </w:r>
      <w:r>
        <w:t xml:space="preserve"> </w:t>
      </w:r>
      <w:r>
        <w:rPr>
          <w:bCs/>
        </w:rPr>
        <w:t xml:space="preserve">«</w:t>
      </w:r>
      <w:r>
        <w:rPr>
          <w:bCs/>
        </w:rPr>
        <w:t xml:space="preserve">Фоновая музыка в практике масс-медиа</w:t>
      </w:r>
      <w:r>
        <w:rPr>
          <w:bCs/>
        </w:rPr>
        <w:t xml:space="preserve">»,</w:t>
      </w:r>
      <w:r>
        <w:rPr>
          <w:b/>
          <w:bCs/>
        </w:rPr>
        <w:t xml:space="preserve"> </w:t>
      </w:r>
      <w:r>
        <w:t xml:space="preserve">далее именуемое «Произведение»</w:t>
      </w:r>
      <w:r>
        <w:t xml:space="preserve">,</w:t>
      </w:r>
      <w:r>
        <w:t xml:space="preserve"> </w:t>
      </w:r>
      <w:r>
        <w:t xml:space="preserve">в обусловленных настоящим договором пределах и на определенный договором срок.</w:t>
      </w:r>
      <w:r>
        <w:rPr>
          <w:b/>
          <w:bCs/>
        </w:rPr>
      </w:r>
    </w:p>
    <w:p>
      <w:pPr>
        <w:ind w:firstLine="709"/>
        <w:jc w:val="both"/>
      </w:pPr>
      <w:r>
        <w:t xml:space="preserve">Настоящее право передается Лицензиату безвозмездно.</w:t>
      </w:r>
      <w:r/>
    </w:p>
    <w:p>
      <w:pPr>
        <w:ind w:firstLine="709"/>
        <w:jc w:val="both"/>
      </w:pPr>
      <w:r>
        <w:t xml:space="preserve">Настоящее право передается для использования на территории всего мира на весь срок действия авторского права.</w:t>
      </w:r>
      <w:r/>
    </w:p>
    <w:p>
      <w:pPr>
        <w:ind w:firstLine="709"/>
        <w:jc w:val="both"/>
      </w:pPr>
      <w:r>
        <w:t xml:space="preserve">Настоящее право передается Лицензиату для использования «Произведения» т</w:t>
      </w:r>
      <w:r>
        <w:t xml:space="preserve">олько и исключительно в составе:</w:t>
      </w:r>
      <w:r/>
    </w:p>
    <w:p>
      <w:pPr>
        <w:pStyle w:val="631"/>
        <w:numPr>
          <w:ilvl w:val="0"/>
          <w:numId w:val="1"/>
        </w:numPr>
        <w:ind w:left="0" w:firstLine="709"/>
        <w:jc w:val="both"/>
      </w:pPr>
      <w:r>
        <w:t xml:space="preserve">___________________________</w:t>
      </w:r>
      <w:r>
        <w:t xml:space="preserve">___________________________</w:t>
      </w:r>
      <w:r>
        <w:t xml:space="preserve">__</w:t>
      </w:r>
      <w:r>
        <w:t xml:space="preserve">__________</w:t>
      </w:r>
      <w:r/>
    </w:p>
    <w:p>
      <w:pPr>
        <w:ind w:firstLine="709"/>
        <w:jc w:val="center"/>
        <w:rPr>
          <w:sz w:val="16"/>
        </w:rPr>
      </w:pPr>
      <w:r>
        <w:rPr>
          <w:sz w:val="16"/>
        </w:rPr>
        <w:t xml:space="preserve">(выходные данные издания)</w:t>
      </w:r>
      <w:r>
        <w:rPr>
          <w:sz w:val="16"/>
        </w:rPr>
      </w:r>
    </w:p>
    <w:p>
      <w:pPr>
        <w:ind w:firstLine="709"/>
        <w:jc w:val="both"/>
      </w:pPr>
      <w:r>
        <w:t xml:space="preserve">Использование Лицензиатом «Произведения» </w:t>
      </w:r>
      <w:r>
        <w:t xml:space="preserve">вне указанн</w:t>
      </w:r>
      <w:r>
        <w:t xml:space="preserve">ого</w:t>
      </w:r>
      <w:r>
        <w:t xml:space="preserve"> выше </w:t>
      </w:r>
      <w:r>
        <w:t xml:space="preserve">сборника</w:t>
      </w:r>
      <w:r>
        <w:t xml:space="preserve"> не допускается.</w:t>
      </w:r>
      <w:r/>
    </w:p>
    <w:p>
      <w:pPr>
        <w:ind w:firstLine="709"/>
        <w:jc w:val="both"/>
      </w:pPr>
      <w:r>
        <w:t xml:space="preserve">1.</w:t>
      </w:r>
      <w:r>
        <w:t xml:space="preserve">2. Лицензиар гарантиру</w:t>
      </w:r>
      <w:r>
        <w:t xml:space="preserve">е</w:t>
      </w:r>
      <w:r>
        <w:t xml:space="preserve">т наличие у н</w:t>
      </w:r>
      <w:r>
        <w:t xml:space="preserve">его</w:t>
      </w:r>
      <w:r>
        <w:t xml:space="preserve"> предоставляемых по настоящему договору авторских прав на </w:t>
      </w:r>
      <w:r>
        <w:t xml:space="preserve">произведение</w:t>
      </w:r>
      <w:r>
        <w:t xml:space="preserve">.</w:t>
      </w:r>
      <w:r/>
    </w:p>
    <w:p>
      <w:pPr>
        <w:ind w:firstLine="709"/>
        <w:jc w:val="both"/>
      </w:pPr>
      <w:r>
        <w:t xml:space="preserve">1.</w:t>
      </w:r>
      <w:r>
        <w:t xml:space="preserve">3. По настоящему договору Лицензиар предоставля</w:t>
      </w:r>
      <w:r>
        <w:t xml:space="preserve">е</w:t>
      </w:r>
      <w:r>
        <w:t xml:space="preserve">т Лицензиату </w:t>
      </w:r>
      <w:r>
        <w:t xml:space="preserve">право использовать произведение всеми способами, включая, но не ограничиваясь:</w:t>
      </w:r>
      <w:r/>
    </w:p>
    <w:p>
      <w:pPr>
        <w:ind w:firstLine="709"/>
        <w:jc w:val="both"/>
      </w:pPr>
      <w:r>
        <w:t xml:space="preserve">1) воспроизведение произведения, то есть изготовление одного и более экземпляра произведения или его части в любой материальной форме, в том числе в форме </w:t>
      </w:r>
      <w:r>
        <w:t xml:space="preserve">звуко</w:t>
      </w:r>
      <w:r>
        <w:t xml:space="preserve">- или видеозаписи, изготовление в трех измерениях одного и более экземпляра двухмерного произведения и в двух измерениях одного и более экземпляра трехмерного произведения. </w:t>
      </w:r>
      <w:r>
        <w:t xml:space="preserve">При этом запись произведения на электронном носителе, в том числе запись в память ЭВМ, также считается воспроизве</w:t>
      </w:r>
      <w:r>
        <w:t xml:space="preserve">дением, кроме случая, когда такая запись является временной и составляет неотъемлемую и существенную часть технологического процесса, имеющего единственной целью правомерное использование записи или правомерное доведение произведения до всеобщего сведения;</w:t>
      </w:r>
      <w:r/>
    </w:p>
    <w:p>
      <w:pPr>
        <w:ind w:firstLine="709"/>
        <w:jc w:val="both"/>
      </w:pPr>
      <w:r>
        <w:t xml:space="preserve">2) распространение произведения путем продажи или иного отчуждения его оригинала или экземпляров;</w:t>
      </w:r>
      <w:r/>
    </w:p>
    <w:p>
      <w:pPr>
        <w:ind w:firstLine="709"/>
        <w:jc w:val="both"/>
      </w:pPr>
      <w:r>
        <w:t xml:space="preserve">3) публичный показ произведения, то есть любая демонстрация оригинала или экземпляра произведения непосредственно либо на экране с помощью пленки, диапозитива, телевизионного кадра или иных технических средств, а также демонстр</w:t>
      </w:r>
      <w:r>
        <w:t xml:space="preserve">ация отдельных кадров аудиовизуального произведения без соблюдения их последовательности непосредственно либо с помощью технических средств в месте, открытом для свободного посещения, или в месте, где присутствует значительное число лиц, не принадлежащих к</w:t>
      </w:r>
      <w:r>
        <w:t xml:space="preserve"> </w:t>
      </w:r>
      <w:hyperlink r:id="rId9" w:tooltip="consultantplus://offline/ref=6FF3534A53DD80DFC62B1C6F3C826C7F11970E1F6BE912155CBAFFD366E61C729DD584370E3129v9S4K" w:history="1">
        <w:r>
          <w:rPr>
            <w:rStyle w:val="627"/>
            <w:color w:val="auto"/>
            <w:u w:val="none"/>
          </w:rPr>
          <w:t xml:space="preserve">обычному кругу семьи</w:t>
        </w:r>
      </w:hyperlink>
      <w:r>
        <w:t xml:space="preserve">, независимо от того, воспринимается произведение в месте его демонстрации или в другом месте одновременно с демонстрацией произведения;</w:t>
      </w:r>
      <w:r/>
    </w:p>
    <w:p>
      <w:pPr>
        <w:ind w:firstLine="709"/>
        <w:jc w:val="both"/>
      </w:pPr>
      <w:r>
        <w:t xml:space="preserve">4) импорт оригинала или экземпляров произведения в целях распространения;</w:t>
      </w:r>
      <w:r/>
    </w:p>
    <w:p>
      <w:pPr>
        <w:ind w:firstLine="709"/>
        <w:jc w:val="both"/>
      </w:pPr>
      <w:r>
        <w:t xml:space="preserve">5) прокат оригинала или экземпляра произведения;</w:t>
      </w:r>
      <w:r/>
    </w:p>
    <w:p>
      <w:pPr>
        <w:ind w:firstLine="709"/>
        <w:jc w:val="both"/>
      </w:pPr>
      <w:r>
        <w:t xml:space="preserve">6) публичное исполнение произведения, то есть представление произведения в живом исполнении или с помощью технических средств (радио, телевидения и иных </w:t>
      </w:r>
      <w:r>
        <w:t xml:space="preserve">технических средств), а также показ аудиовизуального</w:t>
      </w:r>
      <w:r>
        <w:t xml:space="preserve"> произведения (с сопровождением или без сопровождения звуком) в месте, открытом для свободного посещения, или в месте, где присутствует значительное число лиц, не принадлежащих к обычному кругу семьи, независимо от того, воспринимается произведение в месте</w:t>
      </w:r>
      <w:r>
        <w:t xml:space="preserve"> его представления или показа либо в другом месте одновременно с представлением или показом произведения;</w:t>
      </w:r>
      <w:r/>
    </w:p>
    <w:p>
      <w:pPr>
        <w:ind w:firstLine="709"/>
        <w:jc w:val="both"/>
      </w:pPr>
      <w:r>
        <w:t xml:space="preserve">7) сообщение в эфир, то есть сообщение произведения для всеобщего сведения (включая показ или исполнение) по радио или телевидению (в том числе путе</w:t>
      </w:r>
      <w:r>
        <w:t xml:space="preserve">м ретрансляции), за исключением сообщения по кабелю. При этом под сообщением понимается любое действие, посредством которого произведение становится доступным для слухового и (или) зрительного восприятия независимо от его фактического восприятия публикой. </w:t>
      </w:r>
      <w:r>
        <w:t xml:space="preserve">При сообщении произведений в эфир через спутник под сообщением в эфир</w:t>
      </w:r>
      <w:r>
        <w:t xml:space="preserve"> понимается прием сигналов с наземной станции на спутник и передача сигналов со спутника, посредством которых произведение может быть дов</w:t>
      </w:r>
      <w:r>
        <w:t xml:space="preserve">едено до всеобщего сведения независимо от его фактического приема публикой. Сообщение кодированных сигналов признается сообщением в эфир, если средства декодирования предоставляются неограниченному кругу лиц организацией эфирного вещания или с ее согласия;</w:t>
      </w:r>
      <w:r/>
    </w:p>
    <w:p>
      <w:pPr>
        <w:ind w:firstLine="709"/>
        <w:jc w:val="both"/>
      </w:pPr>
      <w:r>
        <w:t xml:space="preserve">8) сообщение по кабелю, то есть сообщение произведения для всеобщего сведения по радио или телевидению с помощью кабеля, провода, оптичес</w:t>
      </w:r>
      <w:r>
        <w:t xml:space="preserve">кого волокна или аналогичных средств (в том числе путем ретрансляции). Сообщение кодированных сигналов признается сообщением по кабелю, если средства декодирования предоставляются неограниченному кругу лиц организацией кабельного вещания или с ее согласия;</w:t>
      </w:r>
      <w:r/>
    </w:p>
    <w:p>
      <w:pPr>
        <w:ind w:firstLine="709"/>
        <w:jc w:val="both"/>
      </w:pPr>
      <w:r>
        <w:t xml:space="preserve">9) перевод или другая переработка произведения. При этом под переработкой произведения понимается создание производного произведения (обработки, экранизации, аранжировки, инсценировки и тому подобного). </w:t>
      </w:r>
      <w:r>
        <w:t xml:space="preserve">Под переработкой (модификацией) программы для ЭВМ или базы данных понимаются любые их изменения, в том числе перевод такой программы или такой базы данных с одного языка на д</w:t>
      </w:r>
      <w:r>
        <w:t xml:space="preserve">ругой язык, за исключением адаптации, то есть внесения изменений, осуществляемых исключительно в целях функционирования программы для ЭВМ или базы данных на конкретных технических средствах пользователя или под управлением конкретных программ пользователя;</w:t>
      </w:r>
      <w:r/>
    </w:p>
    <w:p>
      <w:pPr>
        <w:ind w:firstLine="709"/>
        <w:jc w:val="both"/>
      </w:pPr>
      <w:r>
        <w:t xml:space="preserve">10) доведение произведения до всеобщего сведения таким образом, что любое лицо может получить доступ к произведению из любого места и в любое время по собственному выбору (доведение до всеобщего сведения).</w:t>
      </w:r>
      <w:r/>
    </w:p>
    <w:p>
      <w:pPr>
        <w:ind w:firstLine="709"/>
        <w:jc w:val="both"/>
      </w:pPr>
      <w:r>
        <w:t xml:space="preserve">1.4. Лицензиат имеет </w:t>
      </w:r>
      <w:r>
        <w:t xml:space="preserve">право п</w:t>
      </w:r>
      <w:r>
        <w:t xml:space="preserve">редоставлять</w:t>
      </w:r>
      <w:r>
        <w:t xml:space="preserve"> на договорных условиях полученные по настоящему договору права третьим лицам.</w:t>
      </w:r>
      <w:r/>
    </w:p>
    <w:p>
      <w:pPr>
        <w:ind w:firstLine="90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2. Ответственность сторон и разрешение споров</w:t>
      </w:r>
      <w:r>
        <w:rPr>
          <w:b/>
        </w:rPr>
      </w:r>
    </w:p>
    <w:p>
      <w:pPr>
        <w:ind w:firstLine="900"/>
        <w:jc w:val="both"/>
      </w:pPr>
      <w:r>
        <w:t xml:space="preserve">2.1.</w:t>
      </w:r>
      <w:r>
        <w:t xml:space="preserve"> Ответственность сторон за нарушение настоящего договора определяется в соответствии с законодательством Российской Федерации. </w:t>
      </w:r>
      <w:r/>
    </w:p>
    <w:p>
      <w:pPr>
        <w:ind w:firstLine="900"/>
        <w:jc w:val="both"/>
      </w:pPr>
      <w:r>
        <w:t xml:space="preserve">2.2.</w:t>
      </w:r>
      <w: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и обычаев делового оборота. </w:t>
      </w:r>
      <w:r/>
    </w:p>
    <w:p>
      <w:pPr>
        <w:ind w:firstLine="900"/>
        <w:jc w:val="both"/>
      </w:pPr>
      <w:r>
        <w:t xml:space="preserve">2.3. </w:t>
      </w:r>
      <w:r>
        <w:t xml:space="preserve">При </w:t>
      </w:r>
      <w:r>
        <w:t xml:space="preserve">неурегулировании</w:t>
      </w:r>
      <w:r>
        <w:t xml:space="preserve"> в процессе переговоров спорных вопросов, споры разрешаются в суде по месту нахождения Лицензиата. </w:t>
      </w:r>
      <w:r/>
    </w:p>
    <w:p>
      <w:pPr>
        <w:ind w:firstLine="900"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3. Прочие условия</w:t>
      </w:r>
      <w:r>
        <w:rPr>
          <w:b/>
        </w:rPr>
      </w:r>
    </w:p>
    <w:p>
      <w:pPr>
        <w:ind w:firstLine="709"/>
        <w:jc w:val="both"/>
      </w:pPr>
      <w:r>
        <w:t xml:space="preserve">3.1. Во всем остальном, что не предусмотрено настоящим договором, </w:t>
      </w:r>
      <w:r>
        <w:t xml:space="preserve">стороны руководствуются</w:t>
      </w:r>
      <w:r>
        <w:t xml:space="preserve"> действующим законодательством, регулирующим предоставление товарного кредита.</w:t>
      </w:r>
      <w:r/>
    </w:p>
    <w:p>
      <w:pPr>
        <w:ind w:firstLine="709"/>
        <w:jc w:val="both"/>
        <w:rPr>
          <w:b/>
        </w:rPr>
      </w:pPr>
      <w:r>
        <w:t xml:space="preserve">3.2. Любые изменения и дополнения к настоящему договору </w:t>
      </w:r>
      <w:r>
        <w:t xml:space="preserve">действительны, при</w:t>
      </w:r>
      <w:r>
        <w:t xml:space="preserve"> условии, если они совершены в письменной форме и подписаны сторонами или    надлежаще уполномоченными на то представителями сторон</w:t>
      </w:r>
      <w:r>
        <w:rPr>
          <w:b/>
        </w:rPr>
        <w:t xml:space="preserve">.</w:t>
      </w:r>
      <w:r>
        <w:rPr>
          <w:b/>
        </w:rPr>
      </w:r>
    </w:p>
    <w:p>
      <w:pPr>
        <w:ind w:firstLine="709"/>
        <w:jc w:val="both"/>
      </w:pPr>
      <w:r>
        <w:t xml:space="preserve">3.3</w:t>
      </w:r>
      <w:r>
        <w:t xml:space="preserve">. Договор составлен в </w:t>
      </w:r>
      <w:r>
        <w:t xml:space="preserve">двух</w:t>
      </w:r>
      <w:r>
        <w:t xml:space="preserve"> экземплярах</w:t>
      </w:r>
      <w:r>
        <w:t xml:space="preserve">, обладающих равной юридической силой</w:t>
      </w:r>
      <w:r>
        <w:t xml:space="preserve">, из которых один находится у Лицензиара</w:t>
      </w:r>
      <w:r>
        <w:t xml:space="preserve">, второй у </w:t>
      </w:r>
      <w:r>
        <w:t xml:space="preserve">Лицензиата. </w:t>
      </w:r>
      <w:r/>
    </w:p>
    <w:p>
      <w:pPr>
        <w:ind w:firstLine="900"/>
        <w:jc w:val="both"/>
      </w:pPr>
      <w:r/>
      <w:r/>
    </w:p>
    <w:p>
      <w:pPr>
        <w:pStyle w:val="623"/>
        <w:ind w:firstLine="0"/>
        <w:jc w:val="center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Реквизиты и подписи сторон: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ind w:firstLine="900"/>
        <w:jc w:val="center"/>
      </w:pPr>
      <w:r/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>
        <w:tblPrEx/>
        <w:trPr/>
        <w:tc>
          <w:tcPr>
            <w:tcW w:w="4785" w:type="dxa"/>
            <w:textDirection w:val="lrTb"/>
            <w:noWrap w:val="false"/>
          </w:tcPr>
          <w:p>
            <w:r>
              <w:rPr>
                <w:b/>
              </w:rPr>
              <w:t xml:space="preserve">Лицензиар:</w:t>
            </w:r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Лицензиат:</w:t>
            </w:r>
            <w:r>
              <w:rPr>
                <w:b/>
              </w:rPr>
            </w:r>
          </w:p>
        </w:tc>
      </w:tr>
      <w:tr>
        <w:tblPrEx/>
        <w:trPr>
          <w:trHeight w:val="2771"/>
        </w:trPr>
        <w:tc>
          <w:tcPr>
            <w:tcW w:w="4785" w:type="dxa"/>
            <w:textDirection w:val="lrTb"/>
            <w:noWrap w:val="false"/>
          </w:tcPr>
          <w:p>
            <w:r>
              <w:t xml:space="preserve">Паспорт </w:t>
            </w:r>
            <w:r>
              <w:t xml:space="preserve">____</w:t>
            </w:r>
            <w:r>
              <w:t xml:space="preserve"> </w:t>
            </w:r>
            <w:r>
              <w:t xml:space="preserve">№ </w:t>
            </w:r>
            <w:r>
              <w:t xml:space="preserve">______</w:t>
            </w:r>
            <w:r>
              <w:t xml:space="preserve">, </w:t>
            </w:r>
            <w:r>
              <w:t xml:space="preserve">___________</w:t>
            </w:r>
            <w:r>
              <w:t xml:space="preserve">_____ </w:t>
            </w:r>
            <w:r>
              <w:t xml:space="preserve">________________________________</w:t>
            </w:r>
            <w:r>
              <w:t xml:space="preserve">_____</w:t>
            </w:r>
            <w:r/>
          </w:p>
          <w:p>
            <w:pPr>
              <w:jc w:val="center"/>
              <w:rPr>
                <w:sz w:val="14"/>
              </w:rPr>
            </w:pPr>
            <w:r>
              <w:rPr>
                <w:sz w:val="14"/>
              </w:rPr>
              <w:t xml:space="preserve">(кем, когда выдан, код </w:t>
            </w:r>
            <w:r>
              <w:rPr>
                <w:sz w:val="14"/>
              </w:rPr>
              <w:t xml:space="preserve">поздразделения</w:t>
            </w:r>
            <w:r>
              <w:rPr>
                <w:sz w:val="14"/>
              </w:rPr>
              <w:t xml:space="preserve">)</w:t>
            </w:r>
            <w:r>
              <w:rPr>
                <w:sz w:val="14"/>
              </w:rPr>
            </w:r>
          </w:p>
          <w:p>
            <w:r>
              <w:t xml:space="preserve">Адрес:</w:t>
            </w:r>
            <w:r>
              <w:t xml:space="preserve"> </w:t>
            </w:r>
            <w:r>
              <w:t xml:space="preserve">____________</w:t>
            </w:r>
            <w:r/>
          </w:p>
          <w:p>
            <w:r/>
            <w:r/>
          </w:p>
          <w:p>
            <w:r/>
            <w:r/>
          </w:p>
          <w:p>
            <w:r/>
            <w:r/>
          </w:p>
          <w:p>
            <w:r>
              <w:t xml:space="preserve">_________________/</w:t>
            </w:r>
            <w:r>
              <w:t xml:space="preserve">____________</w:t>
            </w:r>
            <w:r>
              <w:t xml:space="preserve">__/</w:t>
            </w:r>
            <w:r/>
          </w:p>
          <w:p>
            <w:r/>
            <w:r/>
          </w:p>
        </w:tc>
        <w:tc>
          <w:tcPr>
            <w:tcW w:w="4785" w:type="dxa"/>
            <w:textDirection w:val="lrTb"/>
            <w:noWrap w:val="false"/>
          </w:tcPr>
          <w:p>
            <w:pPr>
              <w:jc w:val="both"/>
            </w:pPr>
            <w:r>
              <w:t xml:space="preserve">Федеральное государственное бюджетное образовательное учреждение высшего образования «Российская академия музыки имени Гнесиных»</w:t>
            </w:r>
            <w:r/>
          </w:p>
          <w:p>
            <w:r>
              <w:t xml:space="preserve">Адрес: 121069,  Москва, ул.  Поварская, д. 30–</w:t>
            </w:r>
            <w:r>
              <w:t xml:space="preserve">36</w:t>
            </w:r>
            <w:r/>
          </w:p>
          <w:p>
            <w:r/>
            <w:r/>
          </w:p>
          <w:p>
            <w:r>
              <w:t xml:space="preserve">___________</w:t>
            </w:r>
            <w:r>
              <w:t xml:space="preserve">____/</w:t>
            </w:r>
            <w:r>
              <w:t xml:space="preserve">______</w:t>
            </w:r>
            <w:r>
              <w:t xml:space="preserve">______</w:t>
            </w:r>
            <w:r>
              <w:t xml:space="preserve">/</w:t>
            </w:r>
            <w:r/>
          </w:p>
          <w:p>
            <w:r>
              <w:t xml:space="preserve">        М.П.</w:t>
            </w:r>
            <w:r/>
          </w:p>
        </w:tc>
      </w:tr>
    </w:tbl>
    <w:p>
      <w:r/>
      <w:bookmarkStart w:id="0" w:name="_GoBack"/>
      <w:r/>
      <w:bookmarkEnd w:id="0"/>
      <w:r/>
      <w:r/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6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3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5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2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9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ascii="Times New Roman" w:hAnsi="Times New Roman" w:eastAsia="Times New Roman"/>
      <w:sz w:val="24"/>
      <w:szCs w:val="24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 w:customStyle="1">
    <w:name w:val="ConsPlusNormal"/>
    <w:pPr>
      <w:ind w:firstLine="720"/>
      <w:widowControl w:val="off"/>
    </w:pPr>
    <w:rPr>
      <w:rFonts w:ascii="Arial" w:hAnsi="Arial" w:eastAsia="Times New Roman" w:cs="Arial"/>
    </w:rPr>
  </w:style>
  <w:style w:type="paragraph" w:styleId="624">
    <w:name w:val="Body Text Indent"/>
    <w:basedOn w:val="619"/>
    <w:link w:val="625"/>
    <w:pPr>
      <w:ind w:left="708"/>
    </w:pPr>
    <w:rPr>
      <w:bCs/>
    </w:rPr>
  </w:style>
  <w:style w:type="character" w:styleId="625" w:customStyle="1">
    <w:name w:val="Основной текст с отступом Знак"/>
    <w:link w:val="624"/>
    <w:rPr>
      <w:rFonts w:ascii="Times New Roman" w:hAnsi="Times New Roman" w:eastAsia="Times New Roman" w:cs="Times New Roman"/>
      <w:bCs/>
      <w:sz w:val="24"/>
      <w:szCs w:val="24"/>
      <w:lang w:eastAsia="ru-RU"/>
    </w:rPr>
  </w:style>
  <w:style w:type="table" w:styleId="626">
    <w:name w:val="Table Grid"/>
    <w:basedOn w:val="621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7">
    <w:name w:val="Hyperlink"/>
    <w:uiPriority w:val="99"/>
    <w:unhideWhenUsed/>
    <w:rPr>
      <w:color w:val="0000ff"/>
      <w:u w:val="single"/>
    </w:rPr>
  </w:style>
  <w:style w:type="paragraph" w:styleId="628">
    <w:name w:val="Balloon Text"/>
    <w:basedOn w:val="619"/>
    <w:link w:val="629"/>
    <w:uiPriority w:val="99"/>
    <w:semiHidden/>
    <w:unhideWhenUsed/>
    <w:rPr>
      <w:rFonts w:ascii="Tahoma" w:hAnsi="Tahoma"/>
      <w:sz w:val="16"/>
      <w:szCs w:val="16"/>
    </w:rPr>
  </w:style>
  <w:style w:type="character" w:styleId="629" w:customStyle="1">
    <w:name w:val="Текст выноски Знак"/>
    <w:link w:val="628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630" w:customStyle="1">
    <w:name w:val="a_mailru_css_attribute_postfix"/>
    <w:basedOn w:val="620"/>
  </w:style>
  <w:style w:type="paragraph" w:styleId="631">
    <w:name w:val="List Paragraph"/>
    <w:basedOn w:val="619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consultantplus://offline/ref=6FF3534A53DD80DFC62B1C6F3C826C7F11970E1F6BE912155CBAFFD366E61C729DD584370E3129v9S4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Sangre</dc:creator>
  <cp:lastModifiedBy>Дмитрий Беляк</cp:lastModifiedBy>
  <cp:revision>8</cp:revision>
  <dcterms:created xsi:type="dcterms:W3CDTF">2026-04-03T19:27:00Z</dcterms:created>
  <dcterms:modified xsi:type="dcterms:W3CDTF">2026-06-15T13:27:34Z</dcterms:modified>
</cp:coreProperties>
</file>